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5854C" w14:textId="77777777" w:rsidR="002C48D3" w:rsidRDefault="00A37CFC">
      <w:pPr>
        <w:spacing w:after="40"/>
        <w:jc w:val="center"/>
      </w:pPr>
      <w:r>
        <w:rPr>
          <w:b/>
          <w:bCs/>
        </w:rPr>
        <w:t>COALIȚIA PENTRU INCLUZIUNE ȘI NEDISCRIMINARE (CIN)</w:t>
      </w:r>
    </w:p>
    <w:p w14:paraId="6557B1D0" w14:textId="77777777" w:rsidR="002C48D3" w:rsidRDefault="00A37CFC">
      <w:pPr>
        <w:spacing w:after="240"/>
        <w:jc w:val="center"/>
      </w:pPr>
      <w:r>
        <w:rPr>
          <w:b/>
          <w:bCs/>
          <w:sz w:val="28"/>
          <w:szCs w:val="28"/>
        </w:rPr>
        <w:t>TERMENI DE REFERINȚĂ</w:t>
      </w:r>
    </w:p>
    <w:tbl>
      <w:tblPr>
        <w:tblW w:w="9360"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00"/>
        <w:gridCol w:w="6660"/>
      </w:tblGrid>
      <w:tr w:rsidR="002C48D3" w14:paraId="19A9BBA1"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704D6668" w14:textId="77777777" w:rsidR="002C48D3" w:rsidRDefault="00A37CFC">
            <w:r>
              <w:rPr>
                <w:b/>
                <w:bCs/>
              </w:rPr>
              <w:t>Titlul</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45E888F" w14:textId="77777777" w:rsidR="002C48D3" w:rsidRDefault="00A37CFC">
            <w:r>
              <w:t>Expert/ă în elaborarea Raportului alternativ pentru cel de-al patrulea ciclu al Evaluării Periodice Universale (EPU/UPR) privind Republica Moldova, din perspectiva egalității de gen, nediscriminării și incluziunii</w:t>
            </w:r>
          </w:p>
        </w:tc>
      </w:tr>
      <w:tr w:rsidR="002C48D3" w14:paraId="4C6AFA95"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1F8FD5A0" w14:textId="77777777" w:rsidR="002C48D3" w:rsidRDefault="00A37CFC">
            <w:r>
              <w:rPr>
                <w:b/>
                <w:bCs/>
              </w:rPr>
              <w:t>Beneficiar</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6C030F33" w14:textId="77777777" w:rsidR="002C48D3" w:rsidRDefault="00A37CFC">
            <w:r>
              <w:t>Coaliția pentru Incluziune și Nediscriminare (CIN), al cărei secretariat este deținut de Centrul Parteneriat pentru Dezvoltare (CPD)</w:t>
            </w:r>
          </w:p>
        </w:tc>
      </w:tr>
      <w:tr w:rsidR="002C48D3" w14:paraId="4EF9EB60"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3F1C04EA" w14:textId="77777777" w:rsidR="002C48D3" w:rsidRDefault="00A37CFC">
            <w:r>
              <w:rPr>
                <w:b/>
                <w:bCs/>
              </w:rPr>
              <w:t>Locația</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0F5563B" w14:textId="77777777" w:rsidR="002C48D3" w:rsidRDefault="00A37CFC">
            <w:r>
              <w:t>Republica Moldova (activitate la distanță, cu ședințe de coordonare online sau la sediu)</w:t>
            </w:r>
          </w:p>
        </w:tc>
      </w:tr>
      <w:tr w:rsidR="002C48D3" w14:paraId="772F4D6C"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64C7A8D3" w14:textId="77777777" w:rsidR="002C48D3" w:rsidRDefault="00A37CFC">
            <w:r>
              <w:rPr>
                <w:b/>
                <w:bCs/>
              </w:rPr>
              <w:t>Durata contractuală</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5AA49685" w14:textId="77777777" w:rsidR="002C48D3" w:rsidRDefault="00A37CFC">
            <w:r>
              <w:t>Iunie 2026 – iulie 2026</w:t>
            </w:r>
          </w:p>
        </w:tc>
      </w:tr>
      <w:tr w:rsidR="002C48D3" w14:paraId="0BCE1E00"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6CBA11A8" w14:textId="77777777" w:rsidR="002C48D3" w:rsidRDefault="00A37CFC">
            <w:r>
              <w:rPr>
                <w:b/>
                <w:bCs/>
              </w:rPr>
              <w:t>Termen-limită de depunere a dosarelor</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394449C0" w14:textId="77777777" w:rsidR="002C48D3" w:rsidRDefault="00A37CFC">
            <w:r>
              <w:rPr>
                <w:b/>
                <w:bCs/>
              </w:rPr>
              <w:t>20 iunie 2026, ora 23:59</w:t>
            </w:r>
          </w:p>
        </w:tc>
      </w:tr>
      <w:tr w:rsidR="002C48D3" w14:paraId="380358C8" w14:textId="77777777">
        <w:tblPrEx>
          <w:tblCellMar>
            <w:top w:w="0" w:type="dxa"/>
            <w:bottom w:w="0" w:type="dxa"/>
          </w:tblCellMar>
        </w:tblPrEx>
        <w:tc>
          <w:tcPr>
            <w:tcW w:w="2700" w:type="dxa"/>
            <w:tcBorders>
              <w:top w:val="single" w:sz="1" w:space="0" w:color="999999"/>
              <w:left w:val="single" w:sz="1" w:space="0" w:color="999999"/>
              <w:bottom w:val="single" w:sz="1" w:space="0" w:color="999999"/>
              <w:right w:val="single" w:sz="1" w:space="0" w:color="999999"/>
            </w:tcBorders>
            <w:shd w:val="clear" w:color="auto" w:fill="D5E8F0"/>
            <w:tcMar>
              <w:top w:w="80" w:type="dxa"/>
              <w:left w:w="120" w:type="dxa"/>
              <w:bottom w:w="80" w:type="dxa"/>
              <w:right w:w="120" w:type="dxa"/>
            </w:tcMar>
          </w:tcPr>
          <w:p w14:paraId="7D6191E8" w14:textId="77777777" w:rsidR="002C48D3" w:rsidRDefault="00A37CFC">
            <w:r>
              <w:rPr>
                <w:b/>
                <w:bCs/>
              </w:rPr>
              <w:t>Termen-limită de introducere a raportului în sistemul OHCHR</w:t>
            </w:r>
          </w:p>
        </w:tc>
        <w:tc>
          <w:tcPr>
            <w:tcW w:w="6660" w:type="dxa"/>
            <w:tcBorders>
              <w:top w:val="single" w:sz="1" w:space="0" w:color="999999"/>
              <w:left w:val="single" w:sz="1" w:space="0" w:color="999999"/>
              <w:bottom w:val="single" w:sz="1" w:space="0" w:color="999999"/>
              <w:right w:val="single" w:sz="1" w:space="0" w:color="999999"/>
            </w:tcBorders>
            <w:tcMar>
              <w:top w:w="80" w:type="dxa"/>
              <w:left w:w="120" w:type="dxa"/>
              <w:bottom w:w="80" w:type="dxa"/>
              <w:right w:w="120" w:type="dxa"/>
            </w:tcMar>
          </w:tcPr>
          <w:p w14:paraId="23275C0E" w14:textId="77777777" w:rsidR="002C48D3" w:rsidRDefault="00A37CFC">
            <w:r>
              <w:rPr>
                <w:b/>
                <w:bCs/>
              </w:rPr>
              <w:t>17 iulie 2026</w:t>
            </w:r>
          </w:p>
        </w:tc>
      </w:tr>
    </w:tbl>
    <w:p w14:paraId="7371C65F" w14:textId="77777777" w:rsidR="002C48D3" w:rsidRDefault="002C48D3"/>
    <w:p w14:paraId="6ED422EB" w14:textId="77777777" w:rsidR="002C48D3" w:rsidRDefault="00A37CFC">
      <w:pPr>
        <w:pStyle w:val="Heading1"/>
      </w:pPr>
      <w:r>
        <w:rPr>
          <w:sz w:val="22"/>
          <w:szCs w:val="22"/>
        </w:rPr>
        <w:t>Context</w:t>
      </w:r>
    </w:p>
    <w:p w14:paraId="5B4C8DAD" w14:textId="77777777" w:rsidR="002C48D3" w:rsidRDefault="00A37CFC">
      <w:pPr>
        <w:spacing w:after="160"/>
        <w:jc w:val="both"/>
      </w:pPr>
      <w:r>
        <w:rPr>
          <w:b/>
          <w:bCs/>
        </w:rPr>
        <w:t>Prezenta selecție se desfășoară în cadrul proiectului „Angajament civic pentru împuternicirea tinerilor și femeilor”, implementat de Fundația Est-Europeană (EEF) în parteneriat cu Centrul Parteneriat pentru Dezvoltare (CPD), Consiliul Național al Tineretului din Moldova (CNTM) și Organizația Necomercială „Agenția Regională de Dezvoltare” din Tiraspol</w:t>
      </w:r>
      <w:r>
        <w:t>. Proiectul este finanțat de Uniunea Europeană și cofinanțat de Suedia și își propune să consolideze rolul societății civile în promovarea egalității de gen și a participării tinerilor la procesele de luare a deciziilor în Republica Moldova, în contextul angajamentelor țării privind dezvoltarea democratică și integrarea europeană. Inițiativa răspunde nivelului redus de implicare civică a tinerilor și persistenței inegalităților de gen, care limitează participarea egală a femeilor și bărbaților în viața publ</w:t>
      </w:r>
      <w:r>
        <w:t>ică și politică.</w:t>
      </w:r>
    </w:p>
    <w:p w14:paraId="22E40CE0" w14:textId="77777777" w:rsidR="002C48D3" w:rsidRDefault="00A37CFC">
      <w:pPr>
        <w:spacing w:after="160"/>
        <w:jc w:val="both"/>
      </w:pPr>
      <w:r>
        <w:rPr>
          <w:b/>
          <w:bCs/>
        </w:rPr>
        <w:t>În cadrul proiectului, Centrul Parteneriat pentru Dezvoltare deține secretariatul Coaliției pentru Incluziune și Nediscriminare (CIN) și sprijină facilitarea implementării agendei comune de advocacy, vizând cel puțin 15 politici publice</w:t>
      </w:r>
      <w:r>
        <w:t>. Coaliția pentru Incluziune și Nediscriminare reunește 23 organizații neguvernamentale și activiste care militează pentru drepturile omului, inclusiv ale persoanelor cu dizabilități, victimelor violenței în familie, minorităților etnice, minorităților sexuale și altor grupuri vulnerabile, cu scopul de a contribui la elaborarea și aplicarea consecventă a unui cadru legal nediscriminatoriu în Republica Moldova, precum și la promovarea practicilor pozitive internaționale privind nediscriminarea.</w:t>
      </w:r>
    </w:p>
    <w:p w14:paraId="21CEBDDA" w14:textId="77777777" w:rsidR="002C48D3" w:rsidRDefault="00A37CFC">
      <w:pPr>
        <w:spacing w:after="160"/>
        <w:jc w:val="both"/>
      </w:pPr>
      <w:r>
        <w:t xml:space="preserve">Republica Moldova urmează a fi examinată în cadrul celui de-al patrulea ciclu al Evaluării Periodice Universale (UPR), în sesiunea Grupului de lucru programată pentru ianuarie–februarie 2027. </w:t>
      </w:r>
      <w:r>
        <w:rPr>
          <w:b/>
          <w:bCs/>
        </w:rPr>
        <w:t>Termenul-limită stabilit de Oficiul Înaltului Comisar al ONU pentru Drepturile Omului (OHCHR) pentru depunerea contribuțiilor părților interesate este 17 iulie 2026</w:t>
      </w:r>
      <w:r>
        <w:t xml:space="preserve">. În acest context, CIN își propune elaborarea unui raport alternativ comun, care să reflecte poziția consolidată a organizațiilor membre și să evidențieze </w:t>
      </w:r>
      <w:r>
        <w:lastRenderedPageBreak/>
        <w:t>lacunele și restanțele statului în asigurarea drepturilor omului din perspectiva egalității, nediscriminării și incluziunii.</w:t>
      </w:r>
    </w:p>
    <w:p w14:paraId="13560AD2" w14:textId="77777777" w:rsidR="002C48D3" w:rsidRDefault="00A37CFC">
      <w:pPr>
        <w:spacing w:after="160"/>
        <w:jc w:val="both"/>
      </w:pPr>
      <w:r>
        <w:rPr>
          <w:b/>
          <w:bCs/>
        </w:rPr>
        <w:t>Raportul va integra transversal perspectiva de gen, drepturile tinerilor și drepturile persoanelor cu dizabilități</w:t>
      </w:r>
      <w:r>
        <w:t>, astfel încât situația acestor grupuri să fie analizată consecvent în toate domeniile abordate, iar recomandările formulate să răspundă nevoilor lor specifice. Documentul va valorifica recomandările primite de Republica Moldova în ciclurile anterioare ale UPR, precum și observațiile mecanismelor internaționale și regionale relevante în domeniul drepturilor omului.</w:t>
      </w:r>
    </w:p>
    <w:p w14:paraId="66E9DDB9" w14:textId="77777777" w:rsidR="002C48D3" w:rsidRDefault="00A37CFC">
      <w:pPr>
        <w:spacing w:after="160"/>
        <w:jc w:val="both"/>
      </w:pPr>
      <w:r>
        <w:rPr>
          <w:b/>
          <w:bCs/>
        </w:rPr>
        <w:t>Raportul va reflecta angajamentele asumate de CIN prin manifestul Coaliției, transversala de gen și recomandările formulate de organizațiile membre</w:t>
      </w:r>
      <w:r>
        <w:t>, asigurând coerența între prioritățile de advocacy ale Coaliției și pozițiile exprimate în documentul comun depus la OHCHR.</w:t>
      </w:r>
    </w:p>
    <w:p w14:paraId="34EBEE54" w14:textId="77777777" w:rsidR="002C48D3" w:rsidRDefault="00A37CFC">
      <w:pPr>
        <w:pStyle w:val="Heading1"/>
      </w:pPr>
      <w:r>
        <w:rPr>
          <w:sz w:val="22"/>
          <w:szCs w:val="22"/>
        </w:rPr>
        <w:t>Scopul misiunii</w:t>
      </w:r>
    </w:p>
    <w:p w14:paraId="5A22EA79" w14:textId="77777777" w:rsidR="002C48D3" w:rsidRDefault="00A37CFC">
      <w:pPr>
        <w:spacing w:after="160"/>
        <w:jc w:val="both"/>
      </w:pPr>
      <w:r>
        <w:rPr>
          <w:b/>
          <w:bCs/>
        </w:rPr>
        <w:t>Obiectivul misiunii constă în elaborarea, în limba engleză, a Raportului alternativ al CIN pentru cel de-al patrulea ciclu UPR privind Republica Moldova</w:t>
      </w:r>
      <w:r>
        <w:t>, în comun cu organizațiile membre ale Coaliției și transmis OHCHR în formatul și conform cerințelor tehnice aplicabile contribuțiilor părților interesate, în termenul stabilit.</w:t>
      </w:r>
    </w:p>
    <w:p w14:paraId="088A1B9F" w14:textId="77777777" w:rsidR="002C48D3" w:rsidRDefault="00A37CFC">
      <w:pPr>
        <w:pStyle w:val="Heading1"/>
      </w:pPr>
      <w:r>
        <w:rPr>
          <w:sz w:val="22"/>
          <w:szCs w:val="22"/>
        </w:rPr>
        <w:t>Sarcini</w:t>
      </w:r>
    </w:p>
    <w:p w14:paraId="3552594F" w14:textId="77777777" w:rsidR="002C48D3" w:rsidRDefault="00A37CFC">
      <w:pPr>
        <w:pStyle w:val="ListParagraph"/>
        <w:numPr>
          <w:ilvl w:val="0"/>
          <w:numId w:val="2"/>
        </w:numPr>
        <w:spacing w:after="80"/>
        <w:jc w:val="both"/>
      </w:pPr>
      <w:r>
        <w:t>Analiza recomandărilor adresate Republicii Moldova în ciclurile anterioare ale UPR și a stadiului implementării acestora, din perspectiva egalității, nediscriminării și incluziunii.</w:t>
      </w:r>
    </w:p>
    <w:p w14:paraId="33390E88" w14:textId="77777777" w:rsidR="002C48D3" w:rsidRDefault="00A37CFC">
      <w:pPr>
        <w:pStyle w:val="ListParagraph"/>
        <w:numPr>
          <w:ilvl w:val="0"/>
          <w:numId w:val="2"/>
        </w:numPr>
        <w:spacing w:after="80"/>
        <w:jc w:val="both"/>
      </w:pPr>
      <w:r>
        <w:t>Consultarea organizațiilor membre ale CIN în vederea colectării datelor, identificării priorităților comune și elaborării documentului comun, asigurând caracterul consolidat și reprezentativ al raportului.</w:t>
      </w:r>
    </w:p>
    <w:p w14:paraId="2EEF4149" w14:textId="77777777" w:rsidR="002C48D3" w:rsidRDefault="00A37CFC">
      <w:pPr>
        <w:pStyle w:val="ListParagraph"/>
        <w:numPr>
          <w:ilvl w:val="0"/>
          <w:numId w:val="2"/>
        </w:numPr>
        <w:spacing w:after="80"/>
        <w:jc w:val="both"/>
      </w:pPr>
      <w:r>
        <w:t>Asigurarea că raportul reflectă angajamentele asumate de CIN prin manifestul Coaliției, transversala de gen și recomandările formulate de organizațiile membre.</w:t>
      </w:r>
    </w:p>
    <w:p w14:paraId="2BA86B1B" w14:textId="77777777" w:rsidR="002C48D3" w:rsidRDefault="00A37CFC">
      <w:pPr>
        <w:pStyle w:val="ListParagraph"/>
        <w:numPr>
          <w:ilvl w:val="0"/>
          <w:numId w:val="2"/>
        </w:numPr>
        <w:spacing w:after="80"/>
        <w:jc w:val="both"/>
      </w:pPr>
      <w:r>
        <w:t>Elaborarea Raportului alternativ în limba engleză, ca depunere comună (joint submission), cu respectarea strictă a structurii și cerințelor tehnice stabilite de OHCHR în Ghidul tehnic pentru contribuțiile părților interesate aferent ciclului IV, integrând transversal perspectiva de gen, situația tinerilor și a persoanelor cu dizabilități.</w:t>
      </w:r>
    </w:p>
    <w:p w14:paraId="64C14EA4" w14:textId="77777777" w:rsidR="002C48D3" w:rsidRDefault="00A37CFC">
      <w:pPr>
        <w:pStyle w:val="ListParagraph"/>
        <w:numPr>
          <w:ilvl w:val="0"/>
          <w:numId w:val="2"/>
        </w:numPr>
        <w:spacing w:after="80"/>
        <w:jc w:val="both"/>
      </w:pPr>
      <w:r>
        <w:t>Formularea unor recomandări de tip SMART, specifice, măsurabile, realizabile, relevante și încadrate în timp, corelate cu temele abordate în raport și adresate autorităților competente.</w:t>
      </w:r>
    </w:p>
    <w:p w14:paraId="66F2CA9C" w14:textId="77777777" w:rsidR="002C48D3" w:rsidRDefault="00A37CFC">
      <w:pPr>
        <w:pStyle w:val="ListParagraph"/>
        <w:numPr>
          <w:ilvl w:val="0"/>
          <w:numId w:val="2"/>
        </w:numPr>
        <w:spacing w:after="80"/>
        <w:jc w:val="both"/>
      </w:pPr>
      <w:r>
        <w:t>Elaborarea, după caz, a matricei de implementare a recomandărilor anterioare, ca anexă la contribuția principală.</w:t>
      </w:r>
    </w:p>
    <w:p w14:paraId="0B53A522" w14:textId="77777777" w:rsidR="002C48D3" w:rsidRDefault="00A37CFC">
      <w:pPr>
        <w:pStyle w:val="ListParagraph"/>
        <w:numPr>
          <w:ilvl w:val="0"/>
          <w:numId w:val="2"/>
        </w:numPr>
        <w:spacing w:after="80"/>
        <w:jc w:val="both"/>
      </w:pPr>
      <w:r>
        <w:t>Consultarea versiunii prefinale cu membrii CIN și ajustarea versiunii finale conform recomandărilor recepționate.</w:t>
      </w:r>
    </w:p>
    <w:p w14:paraId="22F2B064" w14:textId="77777777" w:rsidR="002C48D3" w:rsidRDefault="00A37CFC">
      <w:pPr>
        <w:pStyle w:val="ListParagraph"/>
        <w:numPr>
          <w:ilvl w:val="0"/>
          <w:numId w:val="2"/>
        </w:numPr>
        <w:spacing w:after="80"/>
        <w:jc w:val="both"/>
      </w:pPr>
      <w:r>
        <w:t>Introducerea raportului exclusiv prin sistemul online de înregistrare a contribuțiilor al OHCHR, până la data de 17 iulie 2026.</w:t>
      </w:r>
    </w:p>
    <w:p w14:paraId="5365B828" w14:textId="77777777" w:rsidR="002C48D3" w:rsidRDefault="00A37CFC">
      <w:pPr>
        <w:pStyle w:val="Heading1"/>
      </w:pPr>
      <w:r>
        <w:rPr>
          <w:sz w:val="22"/>
          <w:szCs w:val="22"/>
        </w:rPr>
        <w:t>Cerințe față de expert/ă</w:t>
      </w:r>
    </w:p>
    <w:p w14:paraId="0056A97B" w14:textId="77777777" w:rsidR="002C48D3" w:rsidRDefault="00A37CFC">
      <w:pPr>
        <w:pStyle w:val="ListParagraph"/>
        <w:numPr>
          <w:ilvl w:val="0"/>
          <w:numId w:val="2"/>
        </w:numPr>
        <w:spacing w:after="80"/>
        <w:jc w:val="both"/>
      </w:pPr>
      <w:r>
        <w:lastRenderedPageBreak/>
        <w:t>Studii superioare în drept, drepturile omului, științe politice, sociologie, asistență socială sau domenii conexe.</w:t>
      </w:r>
    </w:p>
    <w:p w14:paraId="17B08A16" w14:textId="77777777" w:rsidR="002C48D3" w:rsidRDefault="00A37CFC">
      <w:pPr>
        <w:pStyle w:val="ListParagraph"/>
        <w:numPr>
          <w:ilvl w:val="0"/>
          <w:numId w:val="2"/>
        </w:numPr>
        <w:spacing w:after="80"/>
        <w:jc w:val="both"/>
      </w:pPr>
      <w:r>
        <w:t>Experiență profesională de cel puțin 5 ani în domeniul drepturilor omului, egalității și nediscriminării.</w:t>
      </w:r>
    </w:p>
    <w:p w14:paraId="6AAE1C86" w14:textId="77777777" w:rsidR="002C48D3" w:rsidRDefault="00A37CFC">
      <w:pPr>
        <w:pStyle w:val="ListParagraph"/>
        <w:numPr>
          <w:ilvl w:val="0"/>
          <w:numId w:val="2"/>
        </w:numPr>
        <w:spacing w:after="80"/>
        <w:jc w:val="both"/>
      </w:pPr>
      <w:r>
        <w:t>Experiență practică în elaborarea rapoartelor sau a altor materiale analitice în domeniul drepturilor omului. Experiența anterioară în elaborarea rapoartelor alternative pentru mecanismul UPR constituie un avantaj important, întrucât aceste documente urmează o structură și standarde tehnice specifice stabilite de OHCHR, iar termenul restrâns de elaborare și depunere impune familiaritatea prealabilă cu aceste cerințe pentru respectarea integrală a standardelor și termenelor procesului.</w:t>
      </w:r>
    </w:p>
    <w:p w14:paraId="3489212B" w14:textId="77777777" w:rsidR="002C48D3" w:rsidRDefault="00A37CFC">
      <w:pPr>
        <w:pStyle w:val="ListParagraph"/>
        <w:numPr>
          <w:ilvl w:val="0"/>
          <w:numId w:val="2"/>
        </w:numPr>
        <w:spacing w:after="80"/>
        <w:jc w:val="both"/>
      </w:pPr>
      <w:r>
        <w:t>Cunoașterea mecanismelor internaționale de raportare în domeniul drepturilor omului, în special a Evaluării Periodice Universale (UPR).</w:t>
      </w:r>
    </w:p>
    <w:p w14:paraId="0BCA4E88" w14:textId="77777777" w:rsidR="002C48D3" w:rsidRDefault="00A37CFC">
      <w:pPr>
        <w:pStyle w:val="ListParagraph"/>
        <w:numPr>
          <w:ilvl w:val="0"/>
          <w:numId w:val="2"/>
        </w:numPr>
        <w:spacing w:after="80"/>
        <w:jc w:val="both"/>
      </w:pPr>
      <w:r>
        <w:t>Cunoașterea aprofundată a problematicii egalității de gen, drepturilor tinerilor și drepturilor persoanelor cu dizabilități.</w:t>
      </w:r>
    </w:p>
    <w:p w14:paraId="6B337E10" w14:textId="77777777" w:rsidR="002C48D3" w:rsidRDefault="00A37CFC">
      <w:pPr>
        <w:pStyle w:val="Heading1"/>
      </w:pPr>
      <w:r>
        <w:rPr>
          <w:sz w:val="22"/>
          <w:szCs w:val="22"/>
        </w:rPr>
        <w:t>Modalitatea de participare la concurs</w:t>
      </w:r>
    </w:p>
    <w:p w14:paraId="317810AB" w14:textId="77777777" w:rsidR="002C48D3" w:rsidRDefault="00A37CFC">
      <w:pPr>
        <w:spacing w:after="160"/>
        <w:jc w:val="both"/>
      </w:pPr>
      <w:r>
        <w:t>Persoanele interesate sunt invitate să transmită dosarele complete, care vor conține:</w:t>
      </w:r>
    </w:p>
    <w:p w14:paraId="66243654" w14:textId="77777777" w:rsidR="002C48D3" w:rsidRDefault="00A37CFC">
      <w:pPr>
        <w:pStyle w:val="ListParagraph"/>
        <w:numPr>
          <w:ilvl w:val="0"/>
          <w:numId w:val="2"/>
        </w:numPr>
        <w:spacing w:after="80"/>
        <w:jc w:val="both"/>
      </w:pPr>
      <w:r>
        <w:t>Scrisoarea de intenție.</w:t>
      </w:r>
    </w:p>
    <w:p w14:paraId="164515ED" w14:textId="77777777" w:rsidR="002C48D3" w:rsidRDefault="00A37CFC">
      <w:pPr>
        <w:pStyle w:val="ListParagraph"/>
        <w:numPr>
          <w:ilvl w:val="0"/>
          <w:numId w:val="2"/>
        </w:numPr>
        <w:spacing w:after="80"/>
        <w:jc w:val="both"/>
      </w:pPr>
      <w:r>
        <w:t>CV-ul, incluzând datele de contact a două persoane de referință.</w:t>
      </w:r>
    </w:p>
    <w:p w14:paraId="7366DDAA" w14:textId="77777777" w:rsidR="002C48D3" w:rsidRDefault="00A37CFC">
      <w:pPr>
        <w:pStyle w:val="ListParagraph"/>
        <w:numPr>
          <w:ilvl w:val="0"/>
          <w:numId w:val="2"/>
        </w:numPr>
        <w:spacing w:after="80"/>
        <w:jc w:val="both"/>
      </w:pPr>
      <w:r>
        <w:t>Oferta financiară.</w:t>
      </w:r>
    </w:p>
    <w:p w14:paraId="4C52C848" w14:textId="77777777" w:rsidR="002C48D3" w:rsidRDefault="00A37CFC">
      <w:pPr>
        <w:pStyle w:val="ListParagraph"/>
        <w:numPr>
          <w:ilvl w:val="0"/>
          <w:numId w:val="2"/>
        </w:numPr>
        <w:spacing w:after="80"/>
        <w:jc w:val="both"/>
      </w:pPr>
      <w:r>
        <w:t>Exemple de rapoarte alternative sau materiale analitice elaborate anterior, relevante pentru sarcină, de preferință rapoarte alternative pentru mecanismul UPR.</w:t>
      </w:r>
    </w:p>
    <w:p w14:paraId="1EDA3FDC" w14:textId="77777777" w:rsidR="002C48D3" w:rsidRDefault="00A37CFC">
      <w:pPr>
        <w:pStyle w:val="ListParagraph"/>
        <w:numPr>
          <w:ilvl w:val="0"/>
          <w:numId w:val="2"/>
        </w:numPr>
        <w:spacing w:after="80"/>
        <w:jc w:val="both"/>
      </w:pPr>
      <w:r>
        <w:t>În cazul entităților juridice, portofoliul organizației și CV-ul expertului/ei care va realiza nemijlocit activitatea.</w:t>
      </w:r>
    </w:p>
    <w:p w14:paraId="35D09C43" w14:textId="77777777" w:rsidR="002C48D3" w:rsidRDefault="00A37CFC">
      <w:pPr>
        <w:pStyle w:val="Heading1"/>
      </w:pPr>
      <w:r>
        <w:rPr>
          <w:sz w:val="22"/>
          <w:szCs w:val="22"/>
        </w:rPr>
        <w:t>Depunerea dosarelor</w:t>
      </w:r>
    </w:p>
    <w:p w14:paraId="1F0778CE" w14:textId="77777777" w:rsidR="002C48D3" w:rsidRDefault="00A37CFC">
      <w:pPr>
        <w:spacing w:after="160"/>
        <w:jc w:val="both"/>
      </w:pPr>
      <w:r>
        <w:t xml:space="preserve">Dosarele complete vor fi expediate prin e-mail la adresele </w:t>
      </w:r>
      <w:hyperlink r:id="rId5" w:history="1">
        <w:r>
          <w:rPr>
            <w:rStyle w:val="Hyperlink"/>
          </w:rPr>
          <w:t>cojocaru.cristina.cpd@gmail.com</w:t>
        </w:r>
      </w:hyperlink>
      <w:r>
        <w:t xml:space="preserve"> și </w:t>
      </w:r>
      <w:hyperlink r:id="rId6" w:history="1">
        <w:r>
          <w:rPr>
            <w:rStyle w:val="Hyperlink"/>
          </w:rPr>
          <w:t>cpd@progen.md</w:t>
        </w:r>
      </w:hyperlink>
      <w:r>
        <w:t xml:space="preserve">, cu mențiunea „Expert elaborare Raport alternativ – UPR ciclul IV”, până la data de </w:t>
      </w:r>
      <w:r>
        <w:rPr>
          <w:b/>
          <w:bCs/>
        </w:rPr>
        <w:t>20 iunie 2026, ora 23:59</w:t>
      </w:r>
      <w:r>
        <w:t>. Vor fi evaluate doar dosarele complete. Despre rezultatele concursului vor fi anunțați doar candidații selectați.</w:t>
      </w:r>
    </w:p>
    <w:p w14:paraId="7CB22EBB" w14:textId="77777777" w:rsidR="002C48D3" w:rsidRDefault="00A37CFC">
      <w:pPr>
        <w:spacing w:after="160"/>
        <w:jc w:val="both"/>
      </w:pPr>
      <w:r>
        <w:t xml:space="preserve">Persoana de contact: Gheorghina Drumea, e-mail: </w:t>
      </w:r>
      <w:hyperlink r:id="rId7" w:history="1">
        <w:r>
          <w:rPr>
            <w:rStyle w:val="Hyperlink"/>
          </w:rPr>
          <w:t>secretariat.cin@gmail.com</w:t>
        </w:r>
      </w:hyperlink>
      <w:r>
        <w:t>, +373 79736580.</w:t>
      </w:r>
    </w:p>
    <w:p w14:paraId="5AB7A91A" w14:textId="77777777" w:rsidR="002C48D3" w:rsidRDefault="00A37CFC">
      <w:r>
        <w:br/>
      </w:r>
    </w:p>
    <w:p w14:paraId="52DF3D4F" w14:textId="77777777" w:rsidR="002C48D3" w:rsidRDefault="00A37CFC">
      <w:pPr>
        <w:spacing w:before="240" w:after="40"/>
        <w:jc w:val="right"/>
      </w:pPr>
      <w:r>
        <w:rPr>
          <w:b/>
          <w:bCs/>
        </w:rPr>
        <w:t>Anexa 1</w:t>
      </w:r>
    </w:p>
    <w:p w14:paraId="593FEAFF" w14:textId="77777777" w:rsidR="002C48D3" w:rsidRDefault="00A37CFC">
      <w:pPr>
        <w:spacing w:after="160"/>
        <w:jc w:val="center"/>
      </w:pPr>
      <w:r>
        <w:rPr>
          <w:b/>
          <w:bCs/>
          <w:sz w:val="28"/>
          <w:szCs w:val="28"/>
        </w:rPr>
        <w:t>Criterii de evaluare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60"/>
        <w:gridCol w:w="1200"/>
        <w:gridCol w:w="720"/>
        <w:gridCol w:w="720"/>
        <w:gridCol w:w="720"/>
        <w:gridCol w:w="720"/>
        <w:gridCol w:w="720"/>
      </w:tblGrid>
      <w:tr w:rsidR="002C48D3" w14:paraId="1C9F7357"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042716AD" w14:textId="77777777" w:rsidR="002C48D3" w:rsidRDefault="00A37CFC">
            <w:r>
              <w:rPr>
                <w:b/>
                <w:bCs/>
              </w:rPr>
              <w:t>Criterii</w:t>
            </w:r>
          </w:p>
        </w:tc>
        <w:tc>
          <w:tcPr>
            <w:tcW w:w="120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6A9D9CBF" w14:textId="77777777" w:rsidR="002C48D3" w:rsidRDefault="00A37CFC">
            <w:pPr>
              <w:jc w:val="center"/>
            </w:pPr>
            <w:r>
              <w:rPr>
                <w:b/>
                <w:bCs/>
              </w:rPr>
              <w:t>Punctaj maxim</w:t>
            </w:r>
          </w:p>
        </w:tc>
        <w:tc>
          <w:tcPr>
            <w:tcW w:w="3600" w:type="dxa"/>
            <w:gridSpan w:val="5"/>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3B934A8A" w14:textId="77777777" w:rsidR="002C48D3" w:rsidRDefault="00A37CFC">
            <w:pPr>
              <w:jc w:val="center"/>
            </w:pPr>
            <w:r>
              <w:rPr>
                <w:b/>
                <w:bCs/>
              </w:rPr>
              <w:t>Nume candidați/te</w:t>
            </w:r>
          </w:p>
        </w:tc>
      </w:tr>
      <w:tr w:rsidR="002C48D3" w14:paraId="41EA20A4"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1896F7" w14:textId="77777777" w:rsidR="002C48D3" w:rsidRDefault="002C48D3"/>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6644AB6"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1092FED0" w14:textId="77777777" w:rsidR="002C48D3" w:rsidRDefault="00A37CFC">
            <w:pPr>
              <w:jc w:val="center"/>
            </w:pPr>
            <w:r>
              <w:rPr>
                <w:b/>
                <w:bCs/>
              </w:rPr>
              <w:t>A</w:t>
            </w: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72462B1B" w14:textId="77777777" w:rsidR="002C48D3" w:rsidRDefault="00A37CFC">
            <w:pPr>
              <w:jc w:val="center"/>
            </w:pPr>
            <w:r>
              <w:rPr>
                <w:b/>
                <w:bCs/>
              </w:rPr>
              <w:t>B</w:t>
            </w: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08F097D5" w14:textId="77777777" w:rsidR="002C48D3" w:rsidRDefault="00A37CFC">
            <w:pPr>
              <w:jc w:val="center"/>
            </w:pPr>
            <w:r>
              <w:rPr>
                <w:b/>
                <w:bCs/>
              </w:rPr>
              <w:t>C</w:t>
            </w: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10FD84F2" w14:textId="77777777" w:rsidR="002C48D3" w:rsidRDefault="00A37CFC">
            <w:pPr>
              <w:jc w:val="center"/>
            </w:pPr>
            <w:r>
              <w:rPr>
                <w:b/>
                <w:bCs/>
              </w:rPr>
              <w:t>D</w:t>
            </w:r>
          </w:p>
        </w:tc>
        <w:tc>
          <w:tcPr>
            <w:tcW w:w="720" w:type="dxa"/>
            <w:tcBorders>
              <w:top w:val="single" w:sz="1" w:space="0" w:color="999999"/>
              <w:left w:val="single" w:sz="1" w:space="0" w:color="999999"/>
              <w:bottom w:val="single" w:sz="1" w:space="0" w:color="999999"/>
              <w:right w:val="single" w:sz="1" w:space="0" w:color="999999"/>
            </w:tcBorders>
            <w:shd w:val="clear" w:color="auto" w:fill="D5E8F0"/>
            <w:tcMar>
              <w:top w:w="60" w:type="dxa"/>
              <w:left w:w="100" w:type="dxa"/>
              <w:bottom w:w="60" w:type="dxa"/>
              <w:right w:w="100" w:type="dxa"/>
            </w:tcMar>
          </w:tcPr>
          <w:p w14:paraId="68E20517" w14:textId="77777777" w:rsidR="002C48D3" w:rsidRDefault="00A37CFC">
            <w:pPr>
              <w:jc w:val="center"/>
            </w:pPr>
            <w:r>
              <w:rPr>
                <w:b/>
                <w:bCs/>
              </w:rPr>
              <w:t>E</w:t>
            </w:r>
          </w:p>
        </w:tc>
      </w:tr>
      <w:tr w:rsidR="002C48D3" w14:paraId="7161E7A3"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F312E3" w14:textId="77777777" w:rsidR="002C48D3" w:rsidRDefault="00A37CFC">
            <w:r>
              <w:lastRenderedPageBreak/>
              <w:t>1. Nivelul studiilor și domeniul de specializare (studii superioare în drept, drepturile omului, științe politice, sociologie, asistență socială sau domenii conexe; studii de masterat în domeniu)</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286A1B" w14:textId="77777777" w:rsidR="002C48D3" w:rsidRDefault="00A37CFC">
            <w:pPr>
              <w:jc w:val="center"/>
            </w:pPr>
            <w:r>
              <w:t>15</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67B46E8"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25BF57E"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CE5C57D"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D6456B"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320120" w14:textId="77777777" w:rsidR="002C48D3" w:rsidRDefault="002C48D3">
            <w:pPr>
              <w:jc w:val="center"/>
            </w:pPr>
          </w:p>
        </w:tc>
      </w:tr>
      <w:tr w:rsidR="002C48D3" w14:paraId="213B3D84"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004F33" w14:textId="77777777" w:rsidR="002C48D3" w:rsidRDefault="00A37CFC">
            <w:r>
              <w:t>2. Experiență profesională relevantă în domeniul drepturilor omului, egalității și nediscriminării, inclusiv cu integrarea perspectivei de gen, a tinerilor și a persoanelor cu dizabilități</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AEB4274" w14:textId="77777777" w:rsidR="002C48D3" w:rsidRDefault="00A37CFC">
            <w:pPr>
              <w:jc w:val="center"/>
            </w:pPr>
            <w:r>
              <w:t>25</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611756"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C904C1"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C810AA"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343E92"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5147C6" w14:textId="77777777" w:rsidR="002C48D3" w:rsidRDefault="002C48D3">
            <w:pPr>
              <w:jc w:val="center"/>
            </w:pPr>
          </w:p>
        </w:tc>
      </w:tr>
      <w:tr w:rsidR="002C48D3" w14:paraId="4902601D"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8B3A879" w14:textId="77777777" w:rsidR="002C48D3" w:rsidRDefault="00A37CFC">
            <w:r>
              <w:t>3. Experiență anterioară în elaborarea rapoartelor alternative pentru mecanismul UPR sau pentru alte mecanisme internaționale de raportare în domeniul drepturilor omului</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F531AA7" w14:textId="77777777" w:rsidR="002C48D3" w:rsidRDefault="00A37CFC">
            <w:pPr>
              <w:jc w:val="center"/>
            </w:pPr>
            <w:r>
              <w:t>25</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323356"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AE84CB2"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D33C6D"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EC213DC"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680DF45" w14:textId="77777777" w:rsidR="002C48D3" w:rsidRDefault="002C48D3">
            <w:pPr>
              <w:jc w:val="center"/>
            </w:pPr>
          </w:p>
        </w:tc>
      </w:tr>
      <w:tr w:rsidR="002C48D3" w14:paraId="490A72F9"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B2E10B9" w14:textId="77777777" w:rsidR="002C48D3" w:rsidRDefault="00A37CFC">
            <w:r>
              <w:t>4. Experiență în cercetare și elaborarea documentelor analitice (rapoarte, studii, analize)</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1448165" w14:textId="77777777" w:rsidR="002C48D3" w:rsidRDefault="00A37CFC">
            <w:pPr>
              <w:jc w:val="center"/>
            </w:pPr>
            <w:r>
              <w:t>5</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C24C0A8"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8FFB304"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4836CF5"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F7B7F0"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58503A" w14:textId="77777777" w:rsidR="002C48D3" w:rsidRDefault="002C48D3">
            <w:pPr>
              <w:jc w:val="center"/>
            </w:pPr>
          </w:p>
        </w:tc>
      </w:tr>
      <w:tr w:rsidR="002C48D3" w14:paraId="290156B8"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E99340" w14:textId="77777777" w:rsidR="002C48D3" w:rsidRDefault="00A37CFC">
            <w:r>
              <w:t>5. Oferta financiară</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BC2BB18" w14:textId="77777777" w:rsidR="002C48D3" w:rsidRDefault="00A37CFC">
            <w:pPr>
              <w:jc w:val="center"/>
            </w:pPr>
            <w:r>
              <w:t>30</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904E14"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3101E3E"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C652D93"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09266AC"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B79C182" w14:textId="77777777" w:rsidR="002C48D3" w:rsidRDefault="002C48D3">
            <w:pPr>
              <w:jc w:val="center"/>
            </w:pPr>
          </w:p>
        </w:tc>
      </w:tr>
      <w:tr w:rsidR="002C48D3" w14:paraId="6AA74BE9" w14:textId="77777777">
        <w:tblPrEx>
          <w:tblCellMar>
            <w:top w:w="0" w:type="dxa"/>
            <w:bottom w:w="0" w:type="dxa"/>
          </w:tblCellMar>
        </w:tblPrEx>
        <w:tc>
          <w:tcPr>
            <w:tcW w:w="456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368970D" w14:textId="77777777" w:rsidR="002C48D3" w:rsidRDefault="00A37CFC">
            <w:r>
              <w:rPr>
                <w:b/>
                <w:bCs/>
              </w:rPr>
              <w:t>TOTAL</w:t>
            </w:r>
          </w:p>
        </w:tc>
        <w:tc>
          <w:tcPr>
            <w:tcW w:w="12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E77AF21" w14:textId="77777777" w:rsidR="002C48D3" w:rsidRDefault="00A37CFC">
            <w:pPr>
              <w:jc w:val="center"/>
            </w:pPr>
            <w:r>
              <w:rPr>
                <w:b/>
                <w:bCs/>
              </w:rPr>
              <w:t>100</w:t>
            </w: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08663EC"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B433E5"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237A5E5"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BE40388" w14:textId="77777777" w:rsidR="002C48D3" w:rsidRDefault="002C48D3">
            <w:pPr>
              <w:jc w:val="center"/>
            </w:pPr>
          </w:p>
        </w:tc>
        <w:tc>
          <w:tcPr>
            <w:tcW w:w="72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683ADE" w14:textId="77777777" w:rsidR="002C48D3" w:rsidRDefault="002C48D3">
            <w:pPr>
              <w:jc w:val="center"/>
            </w:pPr>
          </w:p>
        </w:tc>
      </w:tr>
    </w:tbl>
    <w:p w14:paraId="2B95798E" w14:textId="4D220F26" w:rsidR="002C48D3" w:rsidRDefault="00A37CFC">
      <w:pPr>
        <w:spacing w:before="160"/>
        <w:jc w:val="right"/>
      </w:pPr>
      <w:r>
        <w:t>________</w:t>
      </w:r>
    </w:p>
    <w:sectPr w:rsidR="002C48D3">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791D"/>
    <w:multiLevelType w:val="hybridMultilevel"/>
    <w:tmpl w:val="FFFFFFFF"/>
    <w:lvl w:ilvl="0" w:tplc="60A2ADFA">
      <w:start w:val="1"/>
      <w:numFmt w:val="bullet"/>
      <w:lvlText w:val="–"/>
      <w:lvlJc w:val="left"/>
      <w:pPr>
        <w:ind w:left="600" w:hanging="300"/>
      </w:pPr>
    </w:lvl>
    <w:lvl w:ilvl="1" w:tplc="FFC6EA9E">
      <w:numFmt w:val="decimal"/>
      <w:lvlText w:val=""/>
      <w:lvlJc w:val="left"/>
    </w:lvl>
    <w:lvl w:ilvl="2" w:tplc="4D5891B2">
      <w:numFmt w:val="decimal"/>
      <w:lvlText w:val=""/>
      <w:lvlJc w:val="left"/>
    </w:lvl>
    <w:lvl w:ilvl="3" w:tplc="064047E6">
      <w:numFmt w:val="decimal"/>
      <w:lvlText w:val=""/>
      <w:lvlJc w:val="left"/>
    </w:lvl>
    <w:lvl w:ilvl="4" w:tplc="A4725864">
      <w:numFmt w:val="decimal"/>
      <w:lvlText w:val=""/>
      <w:lvlJc w:val="left"/>
    </w:lvl>
    <w:lvl w:ilvl="5" w:tplc="5CAA42DA">
      <w:numFmt w:val="decimal"/>
      <w:lvlText w:val=""/>
      <w:lvlJc w:val="left"/>
    </w:lvl>
    <w:lvl w:ilvl="6" w:tplc="F50E9A46">
      <w:numFmt w:val="decimal"/>
      <w:lvlText w:val=""/>
      <w:lvlJc w:val="left"/>
    </w:lvl>
    <w:lvl w:ilvl="7" w:tplc="E5F0DECE">
      <w:numFmt w:val="decimal"/>
      <w:lvlText w:val=""/>
      <w:lvlJc w:val="left"/>
    </w:lvl>
    <w:lvl w:ilvl="8" w:tplc="4A1EC866">
      <w:numFmt w:val="decimal"/>
      <w:lvlText w:val=""/>
      <w:lvlJc w:val="left"/>
    </w:lvl>
  </w:abstractNum>
  <w:abstractNum w:abstractNumId="1" w15:restartNumberingAfterBreak="0">
    <w:nsid w:val="54D708E4"/>
    <w:multiLevelType w:val="hybridMultilevel"/>
    <w:tmpl w:val="FFFFFFFF"/>
    <w:lvl w:ilvl="0" w:tplc="722450E4">
      <w:start w:val="1"/>
      <w:numFmt w:val="bullet"/>
      <w:lvlText w:val="●"/>
      <w:lvlJc w:val="left"/>
      <w:pPr>
        <w:ind w:left="720" w:hanging="360"/>
      </w:pPr>
    </w:lvl>
    <w:lvl w:ilvl="1" w:tplc="AEEAF7AE">
      <w:start w:val="1"/>
      <w:numFmt w:val="bullet"/>
      <w:lvlText w:val="○"/>
      <w:lvlJc w:val="left"/>
      <w:pPr>
        <w:ind w:left="1440" w:hanging="360"/>
      </w:pPr>
    </w:lvl>
    <w:lvl w:ilvl="2" w:tplc="724C3D1A">
      <w:start w:val="1"/>
      <w:numFmt w:val="bullet"/>
      <w:lvlText w:val="■"/>
      <w:lvlJc w:val="left"/>
      <w:pPr>
        <w:ind w:left="2160" w:hanging="360"/>
      </w:pPr>
    </w:lvl>
    <w:lvl w:ilvl="3" w:tplc="9B989880">
      <w:start w:val="1"/>
      <w:numFmt w:val="bullet"/>
      <w:lvlText w:val="●"/>
      <w:lvlJc w:val="left"/>
      <w:pPr>
        <w:ind w:left="2880" w:hanging="360"/>
      </w:pPr>
    </w:lvl>
    <w:lvl w:ilvl="4" w:tplc="E81CFBC0">
      <w:start w:val="1"/>
      <w:numFmt w:val="bullet"/>
      <w:lvlText w:val="○"/>
      <w:lvlJc w:val="left"/>
      <w:pPr>
        <w:ind w:left="3600" w:hanging="360"/>
      </w:pPr>
    </w:lvl>
    <w:lvl w:ilvl="5" w:tplc="7B086252">
      <w:start w:val="1"/>
      <w:numFmt w:val="bullet"/>
      <w:lvlText w:val="■"/>
      <w:lvlJc w:val="left"/>
      <w:pPr>
        <w:ind w:left="4320" w:hanging="360"/>
      </w:pPr>
    </w:lvl>
    <w:lvl w:ilvl="6" w:tplc="4432B47E">
      <w:start w:val="1"/>
      <w:numFmt w:val="bullet"/>
      <w:lvlText w:val="●"/>
      <w:lvlJc w:val="left"/>
      <w:pPr>
        <w:ind w:left="5040" w:hanging="360"/>
      </w:pPr>
    </w:lvl>
    <w:lvl w:ilvl="7" w:tplc="DC6836D8">
      <w:start w:val="1"/>
      <w:numFmt w:val="bullet"/>
      <w:lvlText w:val="●"/>
      <w:lvlJc w:val="left"/>
      <w:pPr>
        <w:ind w:left="5760" w:hanging="360"/>
      </w:pPr>
    </w:lvl>
    <w:lvl w:ilvl="8" w:tplc="6ADA98C6">
      <w:start w:val="1"/>
      <w:numFmt w:val="bullet"/>
      <w:lvlText w:val="●"/>
      <w:lvlJc w:val="left"/>
      <w:pPr>
        <w:ind w:left="6480" w:hanging="360"/>
      </w:pPr>
    </w:lvl>
  </w:abstractNum>
  <w:num w:numId="1" w16cid:durableId="1788356363">
    <w:abstractNumId w:val="1"/>
    <w:lvlOverride w:ilvl="0">
      <w:startOverride w:val="1"/>
    </w:lvlOverride>
  </w:num>
  <w:num w:numId="2" w16cid:durableId="2987294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isplayBackgroundShape/>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8D3"/>
    <w:rsid w:val="000D3F9E"/>
    <w:rsid w:val="002C48D3"/>
    <w:rsid w:val="004A48C3"/>
    <w:rsid w:val="0076140E"/>
    <w:rsid w:val="00A37CFC"/>
    <w:rsid w:val="00B63A44"/>
    <w:rsid w:val="00B91D0A"/>
    <w:rsid w:val="00BC0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4C2D6E"/>
  <w15:docId w15:val="{E8636DCC-DAEC-3D47-B904-9BFDA3FE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60"/>
      <w:outlineLvl w:val="0"/>
    </w:pPr>
    <w:rPr>
      <w:b/>
      <w:bCs/>
      <w:sz w:val="28"/>
      <w:szCs w:val="28"/>
    </w:rPr>
  </w:style>
  <w:style w:type="paragraph" w:styleId="Heading2">
    <w:name w:val="heading 2"/>
    <w:uiPriority w:val="9"/>
    <w:semiHidden/>
    <w:unhideWhenUsed/>
    <w:qFormat/>
    <w:pPr>
      <w:spacing w:before="180" w:after="120"/>
      <w:outlineLvl w:val="1"/>
    </w:pPr>
    <w:rPr>
      <w:b/>
      <w:bCs/>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ecretariat.c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d@progen.md" TargetMode="External"/><Relationship Id="rId5" Type="http://schemas.openxmlformats.org/officeDocument/2006/relationships/hyperlink" Target="mailto:cojocaru.cristina.cpd@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1258</Words>
  <Characters>7175</Characters>
  <Application>Microsoft Office Word</Application>
  <DocSecurity>0</DocSecurity>
  <Lines>59</Lines>
  <Paragraphs>16</Paragraphs>
  <ScaleCrop>false</ScaleCrop>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Gheorghina Drumea</cp:lastModifiedBy>
  <cp:revision>2</cp:revision>
  <dcterms:created xsi:type="dcterms:W3CDTF">2026-06-11T18:36:00Z</dcterms:created>
  <dcterms:modified xsi:type="dcterms:W3CDTF">2026-06-11T18:36:00Z</dcterms:modified>
</cp:coreProperties>
</file>